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26B9" w14:textId="238CAEBC" w:rsidR="003D7642" w:rsidRDefault="00AD7AB3" w:rsidP="003D7642">
      <w:pPr>
        <w:spacing w:after="180" w:line="360" w:lineRule="exact"/>
        <w:jc w:val="both"/>
        <w:rPr>
          <w:rFonts w:ascii="Arial" w:hAnsi="Arial" w:cs="Arial"/>
          <w:b/>
          <w:sz w:val="24"/>
          <w:szCs w:val="24"/>
          <w:u w:val="single"/>
        </w:rPr>
      </w:pPr>
      <w:r>
        <w:rPr>
          <w:rFonts w:ascii="Arial" w:hAnsi="Arial" w:cs="Arial"/>
          <w:b/>
          <w:sz w:val="24"/>
          <w:szCs w:val="24"/>
          <w:u w:val="single"/>
        </w:rPr>
        <w:t xml:space="preserve">Die </w:t>
      </w:r>
      <w:r w:rsidR="00CD35E8">
        <w:rPr>
          <w:rFonts w:ascii="Arial" w:hAnsi="Arial" w:cs="Arial"/>
          <w:b/>
          <w:sz w:val="24"/>
          <w:szCs w:val="24"/>
          <w:u w:val="single"/>
        </w:rPr>
        <w:t xml:space="preserve">BVF </w:t>
      </w:r>
      <w:r w:rsidR="00024E54">
        <w:rPr>
          <w:rFonts w:ascii="Arial" w:hAnsi="Arial" w:cs="Arial"/>
          <w:b/>
          <w:sz w:val="24"/>
          <w:szCs w:val="24"/>
          <w:u w:val="single"/>
        </w:rPr>
        <w:t xml:space="preserve">Richtlinie </w:t>
      </w:r>
      <w:r w:rsidR="004B203A">
        <w:rPr>
          <w:rFonts w:ascii="Arial" w:hAnsi="Arial" w:cs="Arial"/>
          <w:b/>
          <w:sz w:val="24"/>
          <w:szCs w:val="24"/>
          <w:u w:val="single"/>
        </w:rPr>
        <w:t>15.</w:t>
      </w:r>
      <w:r w:rsidR="0004541E">
        <w:rPr>
          <w:rFonts w:ascii="Arial" w:hAnsi="Arial" w:cs="Arial"/>
          <w:b/>
          <w:sz w:val="24"/>
          <w:szCs w:val="24"/>
          <w:u w:val="single"/>
        </w:rPr>
        <w:t>3</w:t>
      </w:r>
      <w:r w:rsidR="004B203A">
        <w:rPr>
          <w:rFonts w:ascii="Arial" w:hAnsi="Arial" w:cs="Arial"/>
          <w:b/>
          <w:sz w:val="24"/>
          <w:szCs w:val="24"/>
          <w:u w:val="single"/>
        </w:rPr>
        <w:t xml:space="preserve"> </w:t>
      </w:r>
      <w:r w:rsidR="0039422D">
        <w:rPr>
          <w:rFonts w:ascii="Arial" w:hAnsi="Arial" w:cs="Arial"/>
          <w:b/>
          <w:sz w:val="24"/>
          <w:szCs w:val="24"/>
          <w:u w:val="single"/>
        </w:rPr>
        <w:t>Metall</w:t>
      </w:r>
      <w:r w:rsidR="009D6071">
        <w:rPr>
          <w:rFonts w:ascii="Arial" w:hAnsi="Arial" w:cs="Arial"/>
          <w:b/>
          <w:sz w:val="24"/>
          <w:szCs w:val="24"/>
          <w:u w:val="single"/>
        </w:rPr>
        <w:t>deckensysteme</w:t>
      </w:r>
      <w:r w:rsidR="00B22286">
        <w:rPr>
          <w:rFonts w:ascii="Arial" w:hAnsi="Arial" w:cs="Arial"/>
          <w:b/>
          <w:sz w:val="24"/>
          <w:szCs w:val="24"/>
          <w:u w:val="single"/>
        </w:rPr>
        <w:t xml:space="preserve"> </w:t>
      </w:r>
      <w:r w:rsidR="004D5D14">
        <w:rPr>
          <w:rFonts w:ascii="Arial" w:hAnsi="Arial" w:cs="Arial"/>
          <w:b/>
          <w:sz w:val="24"/>
          <w:szCs w:val="24"/>
          <w:u w:val="single"/>
        </w:rPr>
        <w:t>ist erschienen</w:t>
      </w:r>
      <w:r w:rsidR="001625AD">
        <w:rPr>
          <w:rFonts w:ascii="Arial" w:hAnsi="Arial" w:cs="Arial"/>
          <w:b/>
          <w:sz w:val="24"/>
          <w:szCs w:val="24"/>
          <w:u w:val="single"/>
        </w:rPr>
        <w:t>!</w:t>
      </w:r>
    </w:p>
    <w:p w14:paraId="3271D3EC" w14:textId="426BE072" w:rsidR="001325CA" w:rsidRPr="001325CA" w:rsidRDefault="001325CA" w:rsidP="001325CA">
      <w:pPr>
        <w:spacing w:after="120" w:line="360" w:lineRule="auto"/>
        <w:jc w:val="both"/>
        <w:rPr>
          <w:rFonts w:ascii="Arial" w:hAnsi="Arial" w:cs="Arial"/>
          <w:i/>
          <w:iCs/>
          <w:sz w:val="24"/>
          <w:szCs w:val="24"/>
        </w:rPr>
      </w:pPr>
      <w:r w:rsidRPr="001325CA">
        <w:rPr>
          <w:rFonts w:ascii="Arial" w:hAnsi="Arial" w:cs="Arial"/>
          <w:i/>
          <w:iCs/>
          <w:sz w:val="24"/>
          <w:szCs w:val="24"/>
        </w:rPr>
        <w:t xml:space="preserve">Der Bundesverband Flächenheizungen und Flächenkühlungen e.V. (BVF) gibt mit </w:t>
      </w:r>
      <w:r>
        <w:rPr>
          <w:rFonts w:ascii="Arial" w:hAnsi="Arial" w:cs="Arial"/>
          <w:i/>
          <w:iCs/>
          <w:sz w:val="24"/>
          <w:szCs w:val="24"/>
        </w:rPr>
        <w:t>der neuen</w:t>
      </w:r>
      <w:r w:rsidRPr="001325CA">
        <w:rPr>
          <w:rFonts w:ascii="Arial" w:hAnsi="Arial" w:cs="Arial"/>
          <w:i/>
          <w:iCs/>
          <w:sz w:val="24"/>
          <w:szCs w:val="24"/>
        </w:rPr>
        <w:t xml:space="preserve"> Richtlinie Kühlen und Heizen mit Deckensystemen: </w:t>
      </w:r>
      <w:r w:rsidR="005F25E8">
        <w:rPr>
          <w:rFonts w:ascii="Arial" w:hAnsi="Arial" w:cs="Arial"/>
          <w:i/>
          <w:iCs/>
          <w:sz w:val="24"/>
          <w:szCs w:val="24"/>
        </w:rPr>
        <w:t>Metall</w:t>
      </w:r>
      <w:r w:rsidRPr="001325CA">
        <w:rPr>
          <w:rFonts w:ascii="Arial" w:hAnsi="Arial" w:cs="Arial"/>
          <w:i/>
          <w:iCs/>
          <w:sz w:val="24"/>
          <w:szCs w:val="24"/>
        </w:rPr>
        <w:t>deckensysteme ein herstellerneutrales und technologie</w:t>
      </w:r>
      <w:r w:rsidR="00AE5C81">
        <w:rPr>
          <w:rFonts w:ascii="Arial" w:hAnsi="Arial" w:cs="Arial"/>
          <w:i/>
          <w:iCs/>
          <w:sz w:val="24"/>
          <w:szCs w:val="24"/>
        </w:rPr>
        <w:t>-</w:t>
      </w:r>
      <w:r w:rsidRPr="001325CA">
        <w:rPr>
          <w:rFonts w:ascii="Arial" w:hAnsi="Arial" w:cs="Arial"/>
          <w:i/>
          <w:iCs/>
          <w:sz w:val="24"/>
          <w:szCs w:val="24"/>
        </w:rPr>
        <w:t>übergreifendes Basiswerk heraus und richtet sich an Fachkundige und Interessierte.</w:t>
      </w:r>
    </w:p>
    <w:p w14:paraId="5ECE41C3" w14:textId="627D4383" w:rsidR="005C6C83" w:rsidRPr="005C6C83" w:rsidRDefault="00B10C17" w:rsidP="005C6C83">
      <w:pPr>
        <w:spacing w:after="120" w:line="360" w:lineRule="auto"/>
        <w:jc w:val="both"/>
        <w:rPr>
          <w:rFonts w:ascii="Arial" w:hAnsi="Arial" w:cs="Arial"/>
          <w:sz w:val="24"/>
          <w:szCs w:val="24"/>
        </w:rPr>
      </w:pPr>
      <w:r w:rsidRPr="00B10C17">
        <w:rPr>
          <w:rFonts w:ascii="Arial" w:hAnsi="Arial" w:cs="Arial"/>
          <w:sz w:val="24"/>
          <w:szCs w:val="24"/>
        </w:rPr>
        <w:t xml:space="preserve">Metallkühl- und -heizdecken zeichnen sich neben den hohen Leistungswerten vor allem durch ihre homogene und geschlossene Untersicht aus und lassen sich durch einen vielfältigen Gestaltungsspielraum an die Innenarchitektur von Gebäuden anpassen. </w:t>
      </w:r>
      <w:r w:rsidR="005C6C83" w:rsidRPr="005C6C83">
        <w:rPr>
          <w:rFonts w:ascii="Arial" w:hAnsi="Arial" w:cs="Arial"/>
          <w:sz w:val="24"/>
          <w:szCs w:val="24"/>
        </w:rPr>
        <w:t xml:space="preserve">Die Kühlleistung </w:t>
      </w:r>
      <w:r w:rsidR="005F25E8">
        <w:rPr>
          <w:rFonts w:ascii="Arial" w:hAnsi="Arial" w:cs="Arial"/>
          <w:sz w:val="24"/>
          <w:szCs w:val="24"/>
        </w:rPr>
        <w:t xml:space="preserve">von Metalldeckensystemen </w:t>
      </w:r>
      <w:r w:rsidR="005C6C83" w:rsidRPr="005C6C83">
        <w:rPr>
          <w:rFonts w:ascii="Arial" w:hAnsi="Arial" w:cs="Arial"/>
          <w:sz w:val="24"/>
          <w:szCs w:val="24"/>
        </w:rPr>
        <w:t>liegt je nach Systemauswahl und technischer Zusammensetzung zwischen 70 und 110 W/m²; die Heizleistung kann auf bis zu 120 W/m² ausgelegt werden. Damit sind Metallkühl-/-heizdeckensysteme hervorragend auch für die nachträgliche Installation im Gebäudebestand einsetzbar, insbesondere im Zuge der Umstellung von Heizungsanlagen auf Niedertemperatur und Wärmepumpe. Sie leisten damit einen hohen Beitrag zur Nutzung von Umweltenergie und zur Sektorkopplung im Gebäudebestand. Im Kontext der Recycl</w:t>
      </w:r>
      <w:r w:rsidR="00AE5C81">
        <w:rPr>
          <w:rFonts w:ascii="Arial" w:hAnsi="Arial" w:cs="Arial"/>
          <w:sz w:val="24"/>
          <w:szCs w:val="24"/>
        </w:rPr>
        <w:t>ing</w:t>
      </w:r>
      <w:r w:rsidR="005C6C83" w:rsidRPr="005C6C83">
        <w:rPr>
          <w:rFonts w:ascii="Arial" w:hAnsi="Arial" w:cs="Arial"/>
          <w:sz w:val="24"/>
          <w:szCs w:val="24"/>
        </w:rPr>
        <w:t>fähigkeit von Gebäuden sowie der Lebenszyklusbetrachtung sind Metallkühl-/</w:t>
      </w:r>
      <w:r w:rsidR="00AE5C81">
        <w:rPr>
          <w:rFonts w:ascii="Arial" w:hAnsi="Arial" w:cs="Arial"/>
          <w:sz w:val="24"/>
          <w:szCs w:val="24"/>
        </w:rPr>
        <w:br/>
      </w:r>
      <w:r w:rsidR="005C6C83" w:rsidRPr="005C6C83">
        <w:rPr>
          <w:rFonts w:ascii="Arial" w:hAnsi="Arial" w:cs="Arial"/>
          <w:sz w:val="24"/>
          <w:szCs w:val="24"/>
        </w:rPr>
        <w:t>-heizdeckensysteme besonders gut aufgestellt. Hinsichtlich Material und Wiederverwendbarkeit können einige System auch nach Cradle to Cradle zertifiziert werden.</w:t>
      </w:r>
    </w:p>
    <w:p w14:paraId="70E64B64" w14:textId="71EBAF1B" w:rsidR="005C6C83" w:rsidRDefault="005C6C83" w:rsidP="00B10C17">
      <w:pPr>
        <w:spacing w:after="120" w:line="360" w:lineRule="auto"/>
        <w:jc w:val="both"/>
        <w:rPr>
          <w:rFonts w:ascii="Arial" w:hAnsi="Arial" w:cs="Arial"/>
          <w:sz w:val="24"/>
          <w:szCs w:val="24"/>
        </w:rPr>
      </w:pPr>
      <w:r w:rsidRPr="005C6C83">
        <w:rPr>
          <w:rFonts w:ascii="Arial" w:hAnsi="Arial" w:cs="Arial"/>
          <w:sz w:val="24"/>
          <w:szCs w:val="24"/>
        </w:rPr>
        <w:t>Deckeneinbauten wie z.B. Beleuchtung, Lüftung u.a. lassen sich problemlos integrieren. Die Revisionierbarkeit des Deckenho</w:t>
      </w:r>
      <w:r w:rsidR="00DB2FBE">
        <w:rPr>
          <w:rFonts w:ascii="Arial" w:hAnsi="Arial" w:cs="Arial"/>
          <w:sz w:val="24"/>
          <w:szCs w:val="24"/>
        </w:rPr>
        <w:t>h</w:t>
      </w:r>
      <w:r w:rsidRPr="005C6C83">
        <w:rPr>
          <w:rFonts w:ascii="Arial" w:hAnsi="Arial" w:cs="Arial"/>
          <w:sz w:val="24"/>
          <w:szCs w:val="24"/>
        </w:rPr>
        <w:t>lraums bei Metallkühl-/</w:t>
      </w:r>
      <w:r w:rsidR="00AE5C81">
        <w:rPr>
          <w:rFonts w:ascii="Arial" w:hAnsi="Arial" w:cs="Arial"/>
          <w:sz w:val="24"/>
          <w:szCs w:val="24"/>
        </w:rPr>
        <w:br/>
      </w:r>
      <w:r w:rsidRPr="005C6C83">
        <w:rPr>
          <w:rFonts w:ascii="Arial" w:hAnsi="Arial" w:cs="Arial"/>
          <w:sz w:val="24"/>
          <w:szCs w:val="24"/>
        </w:rPr>
        <w:t xml:space="preserve">-heizdecken ist an jeder Stelle voll umfänglich gegeben. Weiterhin </w:t>
      </w:r>
      <w:r w:rsidR="00AE5C81">
        <w:rPr>
          <w:rFonts w:ascii="Arial" w:hAnsi="Arial" w:cs="Arial"/>
          <w:sz w:val="24"/>
          <w:szCs w:val="24"/>
        </w:rPr>
        <w:t>lassen</w:t>
      </w:r>
      <w:r w:rsidRPr="005C6C83">
        <w:rPr>
          <w:rFonts w:ascii="Arial" w:hAnsi="Arial" w:cs="Arial"/>
          <w:sz w:val="24"/>
          <w:szCs w:val="24"/>
        </w:rPr>
        <w:t xml:space="preserve"> sich durch die Plattenperforation sowie durch akustische Einlagen die Schallabsorption und somit die Raumakustik deutlich verbessern. </w:t>
      </w:r>
      <w:r w:rsidR="00B10C17" w:rsidRPr="00B10C17">
        <w:rPr>
          <w:rFonts w:ascii="Arial" w:hAnsi="Arial" w:cs="Arial"/>
          <w:sz w:val="24"/>
          <w:szCs w:val="24"/>
        </w:rPr>
        <w:t>Metallkühl-/-heizdeckensysteme haben durch ihre technische Bearbeitbarkeit (das Trägermaterial ist</w:t>
      </w:r>
      <w:r w:rsidR="00B10C17">
        <w:rPr>
          <w:rFonts w:ascii="Arial" w:hAnsi="Arial" w:cs="Arial"/>
          <w:sz w:val="24"/>
          <w:szCs w:val="24"/>
        </w:rPr>
        <w:t xml:space="preserve"> </w:t>
      </w:r>
      <w:r w:rsidR="00B10C17" w:rsidRPr="00B10C17">
        <w:rPr>
          <w:rFonts w:ascii="Arial" w:hAnsi="Arial" w:cs="Arial"/>
          <w:sz w:val="24"/>
          <w:szCs w:val="24"/>
        </w:rPr>
        <w:t>meist verzinktes Stahlblech) eine Vielzahl an architektonischen Gestaltungsmöglichkeiten. Die</w:t>
      </w:r>
      <w:r w:rsidR="00B10C17">
        <w:rPr>
          <w:rFonts w:ascii="Arial" w:hAnsi="Arial" w:cs="Arial"/>
          <w:sz w:val="24"/>
          <w:szCs w:val="24"/>
        </w:rPr>
        <w:t xml:space="preserve"> </w:t>
      </w:r>
      <w:r w:rsidR="00B10C17" w:rsidRPr="00B10C17">
        <w:rPr>
          <w:rFonts w:ascii="Arial" w:hAnsi="Arial" w:cs="Arial"/>
          <w:sz w:val="24"/>
          <w:szCs w:val="24"/>
        </w:rPr>
        <w:t xml:space="preserve">metallene Oberfläche lässt sich mit Farben und Dekoren versehen, welche in </w:t>
      </w:r>
      <w:r w:rsidR="00B10C17" w:rsidRPr="00B10C17">
        <w:rPr>
          <w:rFonts w:ascii="Arial" w:hAnsi="Arial" w:cs="Arial"/>
          <w:sz w:val="24"/>
          <w:szCs w:val="24"/>
        </w:rPr>
        <w:lastRenderedPageBreak/>
        <w:t>Kombination zusammen</w:t>
      </w:r>
      <w:r w:rsidR="00B10C17">
        <w:rPr>
          <w:rFonts w:ascii="Arial" w:hAnsi="Arial" w:cs="Arial"/>
          <w:sz w:val="24"/>
          <w:szCs w:val="24"/>
        </w:rPr>
        <w:t xml:space="preserve"> </w:t>
      </w:r>
      <w:r w:rsidR="00B10C17" w:rsidRPr="00B10C17">
        <w:rPr>
          <w:rFonts w:ascii="Arial" w:hAnsi="Arial" w:cs="Arial"/>
          <w:sz w:val="24"/>
          <w:szCs w:val="24"/>
        </w:rPr>
        <w:t>mit Perforationen fast unendliche Kombinationsmöglichkeiten ergeben.</w:t>
      </w:r>
    </w:p>
    <w:p w14:paraId="79A98C6D" w14:textId="711B6610" w:rsidR="00B10C17" w:rsidRDefault="00B10C17" w:rsidP="00B10C17">
      <w:pPr>
        <w:spacing w:after="120" w:line="360" w:lineRule="auto"/>
        <w:jc w:val="both"/>
        <w:rPr>
          <w:rFonts w:ascii="Arial" w:hAnsi="Arial" w:cs="Arial"/>
          <w:sz w:val="24"/>
          <w:szCs w:val="24"/>
        </w:rPr>
      </w:pPr>
      <w:r>
        <w:rPr>
          <w:rFonts w:ascii="Arial" w:hAnsi="Arial" w:cs="Arial"/>
          <w:sz w:val="24"/>
          <w:szCs w:val="24"/>
        </w:rPr>
        <w:t>Z</w:t>
      </w:r>
      <w:r w:rsidRPr="00B10C17">
        <w:rPr>
          <w:rFonts w:ascii="Arial" w:hAnsi="Arial" w:cs="Arial"/>
          <w:sz w:val="24"/>
          <w:szCs w:val="24"/>
        </w:rPr>
        <w:t>ur Erreichung von akustischer</w:t>
      </w:r>
      <w:r>
        <w:rPr>
          <w:rFonts w:ascii="Arial" w:hAnsi="Arial" w:cs="Arial"/>
          <w:sz w:val="24"/>
          <w:szCs w:val="24"/>
        </w:rPr>
        <w:t xml:space="preserve"> </w:t>
      </w:r>
      <w:r w:rsidRPr="00B10C17">
        <w:rPr>
          <w:rFonts w:ascii="Arial" w:hAnsi="Arial" w:cs="Arial"/>
          <w:sz w:val="24"/>
          <w:szCs w:val="24"/>
        </w:rPr>
        <w:t>Behaglichkeit sind vor allem in Schul- und Bildungseinrichtungen oder im Studioausbau, aber auch in</w:t>
      </w:r>
      <w:r>
        <w:rPr>
          <w:rFonts w:ascii="Arial" w:hAnsi="Arial" w:cs="Arial"/>
          <w:sz w:val="24"/>
          <w:szCs w:val="24"/>
        </w:rPr>
        <w:t xml:space="preserve"> </w:t>
      </w:r>
      <w:r w:rsidRPr="00B10C17">
        <w:rPr>
          <w:rFonts w:ascii="Arial" w:hAnsi="Arial" w:cs="Arial"/>
          <w:sz w:val="24"/>
          <w:szCs w:val="24"/>
        </w:rPr>
        <w:t>Büro- und Konferenzräumen raumakustische Maßnahmen notwendig. Abgehängte Decken bzw.</w:t>
      </w:r>
      <w:r>
        <w:rPr>
          <w:rFonts w:ascii="Arial" w:hAnsi="Arial" w:cs="Arial"/>
          <w:sz w:val="24"/>
          <w:szCs w:val="24"/>
        </w:rPr>
        <w:t xml:space="preserve"> </w:t>
      </w:r>
      <w:r w:rsidRPr="00B10C17">
        <w:rPr>
          <w:rFonts w:ascii="Arial" w:hAnsi="Arial" w:cs="Arial"/>
          <w:sz w:val="24"/>
          <w:szCs w:val="24"/>
        </w:rPr>
        <w:t>Deckensegel mit akustischen Einlagen eignen sich ideal zur Verbesserung der Raumakustik.</w:t>
      </w:r>
    </w:p>
    <w:p w14:paraId="43275C0A" w14:textId="33BC2904" w:rsidR="00B10C17" w:rsidRPr="005C6C83" w:rsidRDefault="00B10C17" w:rsidP="00B10C17">
      <w:pPr>
        <w:spacing w:after="120" w:line="360" w:lineRule="auto"/>
        <w:jc w:val="both"/>
        <w:rPr>
          <w:rFonts w:ascii="Arial" w:hAnsi="Arial" w:cs="Arial"/>
          <w:sz w:val="24"/>
          <w:szCs w:val="24"/>
        </w:rPr>
      </w:pPr>
      <w:r>
        <w:rPr>
          <w:rFonts w:ascii="Arial" w:hAnsi="Arial" w:cs="Arial"/>
          <w:sz w:val="24"/>
          <w:szCs w:val="24"/>
        </w:rPr>
        <w:t>Grundsätzlich</w:t>
      </w:r>
      <w:r w:rsidRPr="00B10C17">
        <w:rPr>
          <w:rFonts w:ascii="Arial" w:hAnsi="Arial" w:cs="Arial"/>
          <w:sz w:val="24"/>
          <w:szCs w:val="24"/>
        </w:rPr>
        <w:t xml:space="preserve"> wird für jeden Raum eine Taupunktüberwachung benötigt</w:t>
      </w:r>
      <w:r>
        <w:rPr>
          <w:rFonts w:ascii="Arial" w:hAnsi="Arial" w:cs="Arial"/>
          <w:sz w:val="24"/>
          <w:szCs w:val="24"/>
        </w:rPr>
        <w:t>, denn d</w:t>
      </w:r>
      <w:r w:rsidRPr="00B10C17">
        <w:rPr>
          <w:rFonts w:ascii="Arial" w:hAnsi="Arial" w:cs="Arial"/>
          <w:sz w:val="24"/>
          <w:szCs w:val="24"/>
        </w:rPr>
        <w:t xml:space="preserve">urch Fensteröffnung im Sommer </w:t>
      </w:r>
      <w:r>
        <w:rPr>
          <w:rFonts w:ascii="Arial" w:hAnsi="Arial" w:cs="Arial"/>
          <w:sz w:val="24"/>
          <w:szCs w:val="24"/>
        </w:rPr>
        <w:t xml:space="preserve">bei aktivierter Kühlfunktion </w:t>
      </w:r>
      <w:r w:rsidRPr="00B10C17">
        <w:rPr>
          <w:rFonts w:ascii="Arial" w:hAnsi="Arial" w:cs="Arial"/>
          <w:sz w:val="24"/>
          <w:szCs w:val="24"/>
        </w:rPr>
        <w:t>entsteht die Gefahr, dass feuchte Außenluft in den Raum eindringt</w:t>
      </w:r>
      <w:r>
        <w:rPr>
          <w:rFonts w:ascii="Arial" w:hAnsi="Arial" w:cs="Arial"/>
          <w:sz w:val="24"/>
          <w:szCs w:val="24"/>
        </w:rPr>
        <w:t xml:space="preserve"> </w:t>
      </w:r>
      <w:r w:rsidRPr="00B10C17">
        <w:rPr>
          <w:rFonts w:ascii="Arial" w:hAnsi="Arial" w:cs="Arial"/>
          <w:sz w:val="24"/>
          <w:szCs w:val="24"/>
        </w:rPr>
        <w:t>und an der Decke schlagartig eine Betauung stattfindet.</w:t>
      </w:r>
      <w:r>
        <w:rPr>
          <w:rFonts w:ascii="Arial" w:hAnsi="Arial" w:cs="Arial"/>
          <w:sz w:val="24"/>
          <w:szCs w:val="24"/>
        </w:rPr>
        <w:t xml:space="preserve"> </w:t>
      </w:r>
      <w:r w:rsidRPr="00B10C17">
        <w:rPr>
          <w:rFonts w:ascii="Arial" w:hAnsi="Arial" w:cs="Arial"/>
          <w:sz w:val="24"/>
          <w:szCs w:val="24"/>
        </w:rPr>
        <w:t>Die Kombination von Kühldecken mit einer Lüftungsanlage garantiert eine hohe Luftqualität bei</w:t>
      </w:r>
      <w:r>
        <w:rPr>
          <w:rFonts w:ascii="Arial" w:hAnsi="Arial" w:cs="Arial"/>
          <w:sz w:val="24"/>
          <w:szCs w:val="24"/>
        </w:rPr>
        <w:t xml:space="preserve"> </w:t>
      </w:r>
      <w:r w:rsidRPr="00B10C17">
        <w:rPr>
          <w:rFonts w:ascii="Arial" w:hAnsi="Arial" w:cs="Arial"/>
          <w:sz w:val="24"/>
          <w:szCs w:val="24"/>
        </w:rPr>
        <w:t>optimalen Komfortbedingungen.</w:t>
      </w:r>
    </w:p>
    <w:p w14:paraId="03EC377A" w14:textId="61B45822" w:rsidR="005C6C83" w:rsidRDefault="005C6C83" w:rsidP="00B10C17">
      <w:pPr>
        <w:spacing w:after="120" w:line="360" w:lineRule="auto"/>
        <w:jc w:val="both"/>
        <w:rPr>
          <w:rFonts w:ascii="Arial" w:hAnsi="Arial" w:cs="Arial"/>
          <w:sz w:val="24"/>
          <w:szCs w:val="24"/>
        </w:rPr>
      </w:pPr>
      <w:r w:rsidRPr="005C6C83">
        <w:rPr>
          <w:rFonts w:ascii="Arial" w:hAnsi="Arial" w:cs="Arial"/>
          <w:sz w:val="24"/>
          <w:szCs w:val="24"/>
        </w:rPr>
        <w:t>Metallkühl-/-heizdeckensysteme lassen sich in der Regel schnell und einfach montieren und erlauben häufig auch vor Ort angepasste Lösungen.</w:t>
      </w:r>
      <w:r w:rsidR="00B10C17">
        <w:rPr>
          <w:rFonts w:ascii="Arial" w:hAnsi="Arial" w:cs="Arial"/>
          <w:sz w:val="24"/>
          <w:szCs w:val="24"/>
        </w:rPr>
        <w:t xml:space="preserve"> </w:t>
      </w:r>
      <w:r w:rsidR="00B10C17" w:rsidRPr="00B10C17">
        <w:rPr>
          <w:rFonts w:ascii="Arial" w:hAnsi="Arial" w:cs="Arial"/>
          <w:sz w:val="24"/>
          <w:szCs w:val="24"/>
        </w:rPr>
        <w:t>Bei der Planung von Kühl- und Heizdeckensystemen sind vielfältige Schnittstellen zu anderen</w:t>
      </w:r>
      <w:r w:rsidR="00B10C17">
        <w:rPr>
          <w:rFonts w:ascii="Arial" w:hAnsi="Arial" w:cs="Arial"/>
          <w:sz w:val="24"/>
          <w:szCs w:val="24"/>
        </w:rPr>
        <w:t xml:space="preserve"> </w:t>
      </w:r>
      <w:r w:rsidR="00B10C17" w:rsidRPr="00B10C17">
        <w:rPr>
          <w:rFonts w:ascii="Arial" w:hAnsi="Arial" w:cs="Arial"/>
          <w:sz w:val="24"/>
          <w:szCs w:val="24"/>
        </w:rPr>
        <w:t>Gewerken zu berücksichtigen</w:t>
      </w:r>
      <w:r w:rsidR="00B10C17">
        <w:rPr>
          <w:rFonts w:ascii="Arial" w:hAnsi="Arial" w:cs="Arial"/>
          <w:sz w:val="24"/>
          <w:szCs w:val="24"/>
        </w:rPr>
        <w:t xml:space="preserve"> und möglichst in Kooperation mit den beteiligten Gewerken abzustimmen.</w:t>
      </w:r>
    </w:p>
    <w:p w14:paraId="1AA75D13" w14:textId="202C8D4B" w:rsidR="003D7642" w:rsidRDefault="001325CA" w:rsidP="005C6C83">
      <w:pPr>
        <w:spacing w:after="120" w:line="360" w:lineRule="auto"/>
        <w:jc w:val="both"/>
        <w:rPr>
          <w:rFonts w:ascii="Arial" w:hAnsi="Arial" w:cs="Arial"/>
          <w:sz w:val="24"/>
          <w:szCs w:val="24"/>
        </w:rPr>
      </w:pPr>
      <w:r>
        <w:rPr>
          <w:rFonts w:ascii="Arial" w:hAnsi="Arial" w:cs="Arial"/>
          <w:sz w:val="24"/>
          <w:szCs w:val="24"/>
        </w:rPr>
        <w:t>Die Richtlinie 15.</w:t>
      </w:r>
      <w:r w:rsidR="005F25E8">
        <w:rPr>
          <w:rFonts w:ascii="Arial" w:hAnsi="Arial" w:cs="Arial"/>
          <w:sz w:val="24"/>
          <w:szCs w:val="24"/>
        </w:rPr>
        <w:t>3</w:t>
      </w:r>
      <w:r>
        <w:rPr>
          <w:rFonts w:ascii="Arial" w:hAnsi="Arial" w:cs="Arial"/>
          <w:sz w:val="24"/>
          <w:szCs w:val="24"/>
        </w:rPr>
        <w:t xml:space="preserve"> </w:t>
      </w:r>
      <w:r w:rsidR="005F25E8">
        <w:rPr>
          <w:rFonts w:ascii="Arial" w:hAnsi="Arial" w:cs="Arial"/>
          <w:sz w:val="24"/>
          <w:szCs w:val="24"/>
        </w:rPr>
        <w:t>Metall</w:t>
      </w:r>
      <w:r>
        <w:rPr>
          <w:rFonts w:ascii="Arial" w:hAnsi="Arial" w:cs="Arial"/>
          <w:sz w:val="24"/>
          <w:szCs w:val="24"/>
        </w:rPr>
        <w:t xml:space="preserve">deckensysteme aus der Richtlinienreihe Kühlen und Heizen mit Deckensystemen fasst anschaulich alles Wissens- und Beachtenswerte </w:t>
      </w:r>
      <w:r w:rsidR="00F27F4C">
        <w:rPr>
          <w:rFonts w:ascii="Arial" w:hAnsi="Arial" w:cs="Arial"/>
          <w:sz w:val="24"/>
          <w:szCs w:val="24"/>
        </w:rPr>
        <w:t xml:space="preserve">zusammen und ist ab sofort auf </w:t>
      </w:r>
      <w:hyperlink r:id="rId7" w:history="1">
        <w:r w:rsidR="001D5AC3" w:rsidRPr="00CD7630">
          <w:rPr>
            <w:rStyle w:val="Hyperlink"/>
            <w:rFonts w:ascii="Arial" w:hAnsi="Arial" w:cs="Arial"/>
            <w:sz w:val="24"/>
            <w:szCs w:val="24"/>
          </w:rPr>
          <w:t>https://www.flaechenheizung.de/fachinformationen/kuehlung/</w:t>
        </w:r>
      </w:hyperlink>
      <w:r w:rsidR="001D5AC3">
        <w:rPr>
          <w:rFonts w:ascii="Arial" w:hAnsi="Arial" w:cs="Arial"/>
          <w:sz w:val="24"/>
          <w:szCs w:val="24"/>
        </w:rPr>
        <w:t xml:space="preserve"> </w:t>
      </w:r>
      <w:r w:rsidR="00F27F4C">
        <w:rPr>
          <w:rFonts w:ascii="Arial" w:hAnsi="Arial" w:cs="Arial"/>
          <w:sz w:val="24"/>
          <w:szCs w:val="24"/>
        </w:rPr>
        <w:t>zum download verfügbar.</w:t>
      </w:r>
    </w:p>
    <w:p w14:paraId="21AA73F3"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232F0726"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2B4B6DBD" w14:textId="6E46533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32637365" w14:textId="0DC321CD" w:rsidR="000013C1" w:rsidRDefault="009242FB"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noProof/>
        </w:rPr>
        <w:lastRenderedPageBreak/>
        <w:drawing>
          <wp:inline distT="0" distB="0" distL="0" distR="0" wp14:anchorId="11F46967" wp14:editId="34579A00">
            <wp:extent cx="1899149" cy="2683025"/>
            <wp:effectExtent l="19050" t="19050" r="25400" b="222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149" cy="2683025"/>
                    </a:xfrm>
                    <a:prstGeom prst="rect">
                      <a:avLst/>
                    </a:prstGeom>
                    <a:ln>
                      <a:solidFill>
                        <a:schemeClr val="bg1">
                          <a:lumMod val="50000"/>
                        </a:schemeClr>
                      </a:solidFill>
                    </a:ln>
                  </pic:spPr>
                </pic:pic>
              </a:graphicData>
            </a:graphic>
          </wp:inline>
        </w:drawing>
      </w:r>
    </w:p>
    <w:p w14:paraId="13FB8BF2" w14:textId="7004FC11" w:rsidR="00CA17F4" w:rsidRPr="009242FB" w:rsidRDefault="001625AD" w:rsidP="00CA6B8F">
      <w:pPr>
        <w:pBdr>
          <w:bottom w:val="single" w:sz="6" w:space="1" w:color="auto"/>
        </w:pBdr>
        <w:autoSpaceDE w:val="0"/>
        <w:autoSpaceDN w:val="0"/>
        <w:adjustRightInd w:val="0"/>
        <w:spacing w:after="0" w:line="240" w:lineRule="auto"/>
        <w:rPr>
          <w:rFonts w:ascii="Arial" w:hAnsi="Arial" w:cs="Arial"/>
          <w:i/>
        </w:rPr>
      </w:pPr>
      <w:r w:rsidRPr="009242FB">
        <w:rPr>
          <w:rFonts w:ascii="Arial" w:hAnsi="Arial" w:cs="Arial"/>
          <w:i/>
        </w:rPr>
        <w:t>Die Titelseite der neu erschienenen Richtlinie 15.</w:t>
      </w:r>
      <w:r w:rsidR="005C6C83">
        <w:rPr>
          <w:rFonts w:ascii="Arial" w:hAnsi="Arial" w:cs="Arial"/>
          <w:i/>
        </w:rPr>
        <w:t>3</w:t>
      </w:r>
      <w:r w:rsidRPr="009242FB">
        <w:rPr>
          <w:rFonts w:ascii="Arial" w:hAnsi="Arial" w:cs="Arial"/>
          <w:i/>
        </w:rPr>
        <w:t xml:space="preserve"> </w:t>
      </w:r>
      <w:r w:rsidR="005C6C83">
        <w:rPr>
          <w:rFonts w:ascii="Arial" w:hAnsi="Arial" w:cs="Arial"/>
          <w:i/>
        </w:rPr>
        <w:t>Metall</w:t>
      </w:r>
      <w:r w:rsidR="009242FB">
        <w:rPr>
          <w:rFonts w:ascii="Arial" w:hAnsi="Arial" w:cs="Arial"/>
          <w:i/>
        </w:rPr>
        <w:t>deckensysteme</w:t>
      </w:r>
      <w:r w:rsidRPr="009242FB">
        <w:rPr>
          <w:rFonts w:ascii="Arial" w:hAnsi="Arial" w:cs="Arial"/>
          <w:i/>
        </w:rPr>
        <w:t xml:space="preserve"> aus der Richtlinienreihe Kühlen und Heizen mit Deckensystemen</w:t>
      </w:r>
      <w:r w:rsidR="00820341" w:rsidRPr="009242FB">
        <w:rPr>
          <w:rFonts w:ascii="Arial" w:hAnsi="Arial" w:cs="Arial"/>
          <w:i/>
        </w:rPr>
        <w:t>.</w:t>
      </w:r>
    </w:p>
    <w:p w14:paraId="34347F02"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CF93D20"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60AAE6D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D1B21CF" w:rsidR="00820341" w:rsidRDefault="000013C1" w:rsidP="00820341">
      <w:pPr>
        <w:tabs>
          <w:tab w:val="left" w:pos="7655"/>
        </w:tabs>
        <w:spacing w:after="0" w:line="276" w:lineRule="auto"/>
        <w:ind w:right="1557"/>
        <w:jc w:val="both"/>
        <w:rPr>
          <w:rFonts w:ascii="Arial" w:hAnsi="Arial" w:cs="Arial"/>
        </w:rPr>
      </w:pPr>
      <w:r>
        <w:rPr>
          <w:rFonts w:ascii="Arial" w:hAnsi="Arial" w:cs="Arial"/>
        </w:rPr>
        <w:t>Alexandra Bartsch</w:t>
      </w:r>
    </w:p>
    <w:p w14:paraId="74ECE1F4" w14:textId="4FB9E574" w:rsidR="000013C1" w:rsidRPr="00820341" w:rsidRDefault="000013C1" w:rsidP="00820341">
      <w:pPr>
        <w:tabs>
          <w:tab w:val="left" w:pos="7655"/>
        </w:tabs>
        <w:spacing w:after="0" w:line="276" w:lineRule="auto"/>
        <w:ind w:right="1557"/>
        <w:jc w:val="both"/>
        <w:rPr>
          <w:rFonts w:ascii="Arial" w:hAnsi="Arial" w:cs="Arial"/>
        </w:rPr>
      </w:pPr>
      <w:r>
        <w:rPr>
          <w:rFonts w:ascii="Arial" w:hAnsi="Arial" w:cs="Arial"/>
        </w:rPr>
        <w:t>Referentin Marketing</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4D9E3B78" w:rsidR="00820341" w:rsidRPr="00820341" w:rsidRDefault="000013C1"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r w:rsidRPr="00820341">
        <w:rPr>
          <w:rFonts w:ascii="Arial" w:hAnsi="Arial" w:cs="Arial"/>
          <w:sz w:val="22"/>
          <w:szCs w:val="22"/>
        </w:rPr>
        <w:t>Wandweg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34A2961" w14:textId="77777777" w:rsidR="004020EB" w:rsidRPr="00820341" w:rsidRDefault="00B10C17" w:rsidP="004020EB">
      <w:pPr>
        <w:spacing w:after="0" w:line="240" w:lineRule="auto"/>
        <w:rPr>
          <w:rFonts w:ascii="Arial" w:hAnsi="Arial" w:cs="Arial"/>
        </w:rPr>
      </w:pPr>
      <w:hyperlink r:id="rId9"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0"/>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0B38" w14:textId="77777777" w:rsidR="004446D0" w:rsidRDefault="004446D0" w:rsidP="00F91483">
      <w:pPr>
        <w:spacing w:after="0" w:line="240" w:lineRule="auto"/>
      </w:pPr>
      <w:r>
        <w:separator/>
      </w:r>
    </w:p>
  </w:endnote>
  <w:endnote w:type="continuationSeparator" w:id="0">
    <w:p w14:paraId="5083E9B3" w14:textId="77777777" w:rsidR="004446D0" w:rsidRDefault="004446D0"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1035" w14:textId="77777777" w:rsidR="004446D0" w:rsidRDefault="004446D0" w:rsidP="00F91483">
      <w:pPr>
        <w:spacing w:after="0" w:line="240" w:lineRule="auto"/>
      </w:pPr>
      <w:r>
        <w:separator/>
      </w:r>
    </w:p>
  </w:footnote>
  <w:footnote w:type="continuationSeparator" w:id="0">
    <w:p w14:paraId="4CDEDFC9" w14:textId="77777777" w:rsidR="004446D0" w:rsidRDefault="004446D0"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8D20"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B617363" wp14:editId="24947442">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A1C01F" w14:textId="77777777" w:rsidR="00F91483" w:rsidRDefault="00F91483">
    <w:pPr>
      <w:pStyle w:val="Kopfzeile"/>
      <w:rPr>
        <w:rFonts w:ascii="Arial" w:hAnsi="Arial" w:cs="Arial"/>
        <w:b/>
        <w:sz w:val="28"/>
        <w:szCs w:val="28"/>
      </w:rPr>
    </w:pPr>
  </w:p>
  <w:p w14:paraId="6F542147" w14:textId="77777777" w:rsidR="00F91483" w:rsidRDefault="00F91483">
    <w:pPr>
      <w:pStyle w:val="Kopfzeile"/>
      <w:rPr>
        <w:rFonts w:ascii="Arial" w:hAnsi="Arial" w:cs="Arial"/>
        <w:b/>
        <w:sz w:val="28"/>
        <w:szCs w:val="28"/>
      </w:rPr>
    </w:pPr>
  </w:p>
  <w:p w14:paraId="098D8D98" w14:textId="77777777" w:rsidR="00F91483" w:rsidRDefault="00F91483">
    <w:pPr>
      <w:pStyle w:val="Kopfzeile"/>
      <w:rPr>
        <w:rFonts w:ascii="Arial" w:hAnsi="Arial" w:cs="Arial"/>
        <w:b/>
        <w:sz w:val="28"/>
        <w:szCs w:val="28"/>
      </w:rPr>
    </w:pPr>
  </w:p>
  <w:p w14:paraId="167DA9C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24E54"/>
    <w:rsid w:val="0004541E"/>
    <w:rsid w:val="00050DCB"/>
    <w:rsid w:val="000D4E8B"/>
    <w:rsid w:val="00107A48"/>
    <w:rsid w:val="001325CA"/>
    <w:rsid w:val="001625AD"/>
    <w:rsid w:val="001D5AC3"/>
    <w:rsid w:val="00283B93"/>
    <w:rsid w:val="002F0551"/>
    <w:rsid w:val="00325798"/>
    <w:rsid w:val="0039422D"/>
    <w:rsid w:val="003A276E"/>
    <w:rsid w:val="003C1CE0"/>
    <w:rsid w:val="003D257B"/>
    <w:rsid w:val="003D7642"/>
    <w:rsid w:val="003D7939"/>
    <w:rsid w:val="004020EB"/>
    <w:rsid w:val="004235F3"/>
    <w:rsid w:val="004446D0"/>
    <w:rsid w:val="00446724"/>
    <w:rsid w:val="004B203A"/>
    <w:rsid w:val="004B7093"/>
    <w:rsid w:val="004D5D14"/>
    <w:rsid w:val="005168EF"/>
    <w:rsid w:val="00546ED1"/>
    <w:rsid w:val="00572AF1"/>
    <w:rsid w:val="005C6C83"/>
    <w:rsid w:val="005F25E8"/>
    <w:rsid w:val="006106AD"/>
    <w:rsid w:val="006775D4"/>
    <w:rsid w:val="00687CAB"/>
    <w:rsid w:val="00700360"/>
    <w:rsid w:val="00820341"/>
    <w:rsid w:val="008628A3"/>
    <w:rsid w:val="00882399"/>
    <w:rsid w:val="008B79E2"/>
    <w:rsid w:val="009242FB"/>
    <w:rsid w:val="009A5AF6"/>
    <w:rsid w:val="009A6DF4"/>
    <w:rsid w:val="009D6071"/>
    <w:rsid w:val="00A241DB"/>
    <w:rsid w:val="00A3346D"/>
    <w:rsid w:val="00A621C1"/>
    <w:rsid w:val="00A653F4"/>
    <w:rsid w:val="00AD7AB3"/>
    <w:rsid w:val="00AE19A0"/>
    <w:rsid w:val="00AE5C81"/>
    <w:rsid w:val="00B10C17"/>
    <w:rsid w:val="00B22286"/>
    <w:rsid w:val="00B65677"/>
    <w:rsid w:val="00B93D27"/>
    <w:rsid w:val="00BB1FE4"/>
    <w:rsid w:val="00BB2A13"/>
    <w:rsid w:val="00BB368F"/>
    <w:rsid w:val="00C04E31"/>
    <w:rsid w:val="00C308AD"/>
    <w:rsid w:val="00CA17F4"/>
    <w:rsid w:val="00CA6B8F"/>
    <w:rsid w:val="00CC4F10"/>
    <w:rsid w:val="00CD35E8"/>
    <w:rsid w:val="00D03DB6"/>
    <w:rsid w:val="00D23EFE"/>
    <w:rsid w:val="00DB2FBE"/>
    <w:rsid w:val="00DB3FE7"/>
    <w:rsid w:val="00E53EF3"/>
    <w:rsid w:val="00E63553"/>
    <w:rsid w:val="00E815E0"/>
    <w:rsid w:val="00E84F17"/>
    <w:rsid w:val="00EB3F93"/>
    <w:rsid w:val="00ED4FCC"/>
    <w:rsid w:val="00F27F4C"/>
    <w:rsid w:val="00F6640A"/>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laechenheizung.de/fachinformationen/kueh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8</cp:revision>
  <dcterms:created xsi:type="dcterms:W3CDTF">2021-04-12T14:57:00Z</dcterms:created>
  <dcterms:modified xsi:type="dcterms:W3CDTF">2021-04-15T15:56:00Z</dcterms:modified>
</cp:coreProperties>
</file>